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88" w:before="0" w:after="60"/>
        <w:jc w:val="center"/>
        <w:rPr>
          <w:rFonts w:ascii="Bookman Old Style" w:hAnsi="Bookman Old Style"/>
          <w:b/>
          <w:b/>
          <w:sz w:val="18"/>
          <w:szCs w:val="18"/>
        </w:rPr>
      </w:pPr>
      <w:r>
        <w:rPr>
          <w:rFonts w:ascii="Bookman Old Style" w:hAnsi="Bookman Old Style"/>
          <w:b/>
          <w:sz w:val="18"/>
          <w:szCs w:val="18"/>
        </w:rPr>
        <w:t>SECRETARIA DE ESTADO DA JUSTIÇA, FAMÍLIA E TRABALHO – SEJUF</w:t>
      </w:r>
    </w:p>
    <w:p>
      <w:pPr>
        <w:pStyle w:val="Ttulo1"/>
        <w:spacing w:lineRule="exact" w:line="320" w:before="0" w:after="0"/>
        <w:jc w:val="center"/>
        <w:rPr>
          <w:rFonts w:ascii="Bookman Old Style" w:hAnsi="Bookman Old Style"/>
          <w:b/>
          <w:b/>
          <w:sz w:val="18"/>
          <w:szCs w:val="18"/>
        </w:rPr>
      </w:pPr>
      <w:r>
        <w:rPr>
          <w:rFonts w:ascii="Bookman Old Style" w:hAnsi="Bookman Old Style"/>
          <w:b/>
          <w:sz w:val="18"/>
          <w:szCs w:val="18"/>
        </w:rPr>
        <w:t>CONSELHO ESTADUAL DO TRABALHO – CETER/PR</w:t>
      </w:r>
    </w:p>
    <w:p>
      <w:pPr>
        <w:pStyle w:val="Ttulo1"/>
        <w:spacing w:lineRule="exact" w:line="320" w:before="0" w:after="0"/>
        <w:jc w:val="center"/>
        <w:rPr>
          <w:rFonts w:ascii="Bookman Old Style" w:hAnsi="Bookman Old Style"/>
          <w:b/>
          <w:b/>
          <w:sz w:val="18"/>
          <w:szCs w:val="18"/>
        </w:rPr>
      </w:pPr>
      <w:r>
        <w:rPr>
          <w:rFonts w:ascii="Bookman Old Style" w:hAnsi="Bookman Old Style"/>
          <w:b/>
          <w:sz w:val="18"/>
          <w:szCs w:val="18"/>
        </w:rPr>
      </w:r>
    </w:p>
    <w:p>
      <w:pPr>
        <w:pStyle w:val="Ttulo1"/>
        <w:spacing w:lineRule="exact" w:line="320" w:before="0" w:after="0"/>
        <w:jc w:val="center"/>
        <w:rPr/>
      </w:pPr>
      <w:r>
        <w:rPr>
          <w:rFonts w:eastAsia="Bitstream Vera Sans" w:cs="Arial"/>
          <w:b/>
          <w:bCs/>
          <w:sz w:val="22"/>
          <w:szCs w:val="22"/>
          <w:u w:val="single"/>
        </w:rPr>
        <w:t>RESOLUÇÃO nº 427/2021</w:t>
      </w:r>
    </w:p>
    <w:p>
      <w:pPr>
        <w:pStyle w:val="Corpodotexto"/>
        <w:spacing w:lineRule="exact" w:line="320" w:before="0" w:after="0"/>
        <w:jc w:val="center"/>
        <w:rPr>
          <w:sz w:val="22"/>
          <w:szCs w:val="22"/>
        </w:rPr>
      </w:pPr>
      <w:r>
        <w:rPr>
          <w:sz w:val="22"/>
          <w:szCs w:val="22"/>
        </w:rPr>
      </w:r>
    </w:p>
    <w:p>
      <w:pPr>
        <w:pStyle w:val="Corpodotexto"/>
        <w:spacing w:before="0" w:after="0"/>
        <w:jc w:val="center"/>
        <w:rPr>
          <w:sz w:val="22"/>
          <w:szCs w:val="22"/>
        </w:rPr>
      </w:pPr>
      <w:r>
        <w:rPr>
          <w:sz w:val="22"/>
          <w:szCs w:val="22"/>
        </w:rPr>
      </w:r>
    </w:p>
    <w:p>
      <w:pPr>
        <w:pStyle w:val="Normal1"/>
        <w:ind w:left="3572" w:hanging="0"/>
        <w:jc w:val="both"/>
        <w:rPr>
          <w:rFonts w:ascii="Arial" w:hAnsi="Arial" w:eastAsia="Times New Roman" w:cs="Arial"/>
        </w:rPr>
      </w:pPr>
      <w:r>
        <w:rPr>
          <w:rFonts w:eastAsia="Times New Roman" w:cs="Arial" w:ascii="Arial" w:hAnsi="Arial"/>
        </w:rPr>
        <w:t>O Conselho Estadual do Trabalho, Emprego e Renda - CETER, instituído pela Lei nº 19.847, de 29 de abril de 2019, no uso de suas atribuições legais, e</w:t>
        <w:tab/>
        <w:tab/>
        <w:tab/>
      </w:r>
    </w:p>
    <w:p>
      <w:pPr>
        <w:pStyle w:val="Normal1"/>
        <w:jc w:val="both"/>
        <w:rPr>
          <w:rFonts w:ascii="Arial" w:hAnsi="Arial" w:eastAsia="Times New Roman" w:cs="Arial"/>
        </w:rPr>
      </w:pPr>
      <w:r>
        <w:rPr>
          <w:rFonts w:eastAsia="Times New Roman" w:cs="Arial" w:ascii="Arial" w:hAnsi="Arial"/>
        </w:rPr>
      </w:r>
    </w:p>
    <w:p>
      <w:pPr>
        <w:pStyle w:val="Normal1"/>
        <w:jc w:val="both"/>
        <w:rPr>
          <w:rFonts w:ascii="Arial" w:hAnsi="Arial" w:eastAsia="Times New Roman" w:cs="Arial"/>
        </w:rPr>
      </w:pPr>
      <w:r>
        <w:rPr>
          <w:rFonts w:eastAsia="Times New Roman" w:cs="Arial" w:ascii="Arial" w:hAnsi="Arial"/>
          <w:b/>
        </w:rPr>
        <w:t>considerando</w:t>
      </w:r>
      <w:r>
        <w:rPr>
          <w:rFonts w:eastAsia="Times New Roman" w:cs="Arial" w:ascii="Arial" w:hAnsi="Arial"/>
        </w:rPr>
        <w:t xml:space="preserve"> a Resolução n° 888 do CODEFAT, a qual dispõe sobre as ações de acompanhamento, fiscalização e prestação de contas dos recursos federais descentralizados para os fundos do trabalho das esferas de  governo que aderirem ao SINE, nos termos do artigo 19 da Lei nº 13.667, de 17 de maio de 2018 e do artigo 14 da Resolução CODEFAT nº 825, de 26 de março de 2019.</w:t>
      </w:r>
    </w:p>
    <w:p>
      <w:pPr>
        <w:pStyle w:val="Normal1"/>
        <w:jc w:val="both"/>
        <w:rPr>
          <w:rFonts w:ascii="Arial" w:hAnsi="Arial" w:eastAsia="Times New Roman" w:cs="Arial"/>
        </w:rPr>
      </w:pPr>
      <w:r>
        <w:rPr>
          <w:rFonts w:eastAsia="Times New Roman" w:cs="Arial" w:ascii="Arial" w:hAnsi="Arial"/>
        </w:rPr>
      </w:r>
    </w:p>
    <w:p>
      <w:pPr>
        <w:pStyle w:val="Normal1"/>
        <w:jc w:val="both"/>
        <w:rPr>
          <w:rFonts w:ascii="Arial" w:hAnsi="Arial" w:eastAsia="Times New Roman" w:cs="Arial"/>
        </w:rPr>
      </w:pPr>
      <w:r>
        <w:rPr>
          <w:rFonts w:eastAsia="Times New Roman" w:cs="Arial" w:ascii="Arial" w:hAnsi="Arial"/>
          <w:b/>
        </w:rPr>
        <w:t xml:space="preserve">considerando </w:t>
      </w:r>
      <w:r>
        <w:rPr>
          <w:rFonts w:eastAsia="Times New Roman" w:cs="Arial" w:ascii="Arial" w:hAnsi="Arial"/>
        </w:rPr>
        <w:t xml:space="preserve">a Portaria SPPE/SEPEC/ME N° 5733, de 13 de Maio de 2021 que </w:t>
      </w:r>
      <w:r>
        <w:rPr>
          <w:rFonts w:ascii="Arial" w:hAnsi="Arial"/>
        </w:rPr>
        <w:t>Dispõe sobre o Relatório de Gestão do Bloco de Ações e Serviços da Qualificação Profissional, de que trata o art. 10 da Resolução CODEFAT nº 888, de 2 de dezembro de 2020;</w:t>
      </w:r>
    </w:p>
    <w:p>
      <w:pPr>
        <w:pStyle w:val="Normal1"/>
        <w:jc w:val="both"/>
        <w:rPr>
          <w:rFonts w:ascii="Arial" w:hAnsi="Arial" w:eastAsia="Times New Roman" w:cs="Arial"/>
        </w:rPr>
      </w:pPr>
      <w:r>
        <w:rPr>
          <w:rFonts w:eastAsia="Times New Roman" w:cs="Arial" w:ascii="Arial" w:hAnsi="Arial"/>
        </w:rPr>
      </w:r>
    </w:p>
    <w:p>
      <w:pPr>
        <w:pStyle w:val="Normal1"/>
        <w:jc w:val="both"/>
        <w:rPr>
          <w:rFonts w:ascii="Arial" w:hAnsi="Arial" w:eastAsia="Times New Roman" w:cs="Arial"/>
          <w:b/>
          <w:b/>
          <w:bCs/>
          <w:lang w:eastAsia="pt-BR"/>
        </w:rPr>
      </w:pPr>
      <w:r>
        <w:rPr>
          <w:rFonts w:eastAsia="Times New Roman" w:cs="Arial" w:ascii="Arial" w:hAnsi="Arial"/>
          <w:b/>
          <w:bCs/>
          <w:lang w:eastAsia="pt-BR"/>
        </w:rPr>
        <w:t>RESOLVE:</w:t>
      </w:r>
    </w:p>
    <w:p>
      <w:pPr>
        <w:pStyle w:val="Normal1"/>
        <w:jc w:val="both"/>
        <w:rPr>
          <w:rFonts w:ascii="Arial" w:hAnsi="Arial" w:eastAsia="Times New Roman" w:cs="Arial"/>
          <w:b/>
          <w:b/>
          <w:bCs/>
          <w:lang w:eastAsia="pt-BR"/>
        </w:rPr>
      </w:pPr>
      <w:r>
        <w:rPr>
          <w:rFonts w:eastAsia="Times New Roman" w:cs="Arial" w:ascii="Arial" w:hAnsi="Arial"/>
          <w:b/>
          <w:bCs/>
          <w:lang w:eastAsia="pt-BR"/>
        </w:rPr>
      </w:r>
    </w:p>
    <w:p>
      <w:pPr>
        <w:pStyle w:val="Normal1"/>
        <w:jc w:val="both"/>
        <w:rPr>
          <w:rFonts w:ascii="Arial" w:hAnsi="Arial" w:eastAsia="Times New Roman" w:cs="Arial"/>
        </w:rPr>
      </w:pPr>
      <w:r>
        <w:rPr>
          <w:rFonts w:eastAsia="Times New Roman" w:cs="Arial" w:ascii="Arial" w:hAnsi="Arial"/>
          <w:b/>
          <w:bCs/>
          <w:lang w:eastAsia="pt-BR"/>
        </w:rPr>
        <w:t xml:space="preserve">Art. 1º Aprovar </w:t>
      </w:r>
      <w:r>
        <w:rPr>
          <w:rFonts w:eastAsia="Times New Roman" w:cs="Arial" w:ascii="Arial" w:hAnsi="Arial"/>
        </w:rPr>
        <w:t xml:space="preserve">o Relatório de Gestão do Plano de Ações e Serviços de 2020, em anexo, proposto  pela  Coordenadoria de Qualificação Profissional  da Secretaria de Estado da Justiça, família e Trabalho – SEJUF  </w:t>
      </w:r>
    </w:p>
    <w:p>
      <w:pPr>
        <w:pStyle w:val="Normal1"/>
        <w:jc w:val="both"/>
        <w:rPr>
          <w:rFonts w:ascii="Arial" w:hAnsi="Arial" w:eastAsia="Times New Roman" w:cs="Arial"/>
        </w:rPr>
      </w:pPr>
      <w:r>
        <w:rPr>
          <w:rFonts w:eastAsia="Times New Roman" w:cs="Arial" w:ascii="Arial" w:hAnsi="Arial"/>
        </w:rPr>
      </w:r>
    </w:p>
    <w:p>
      <w:pPr>
        <w:pStyle w:val="Normal1"/>
        <w:jc w:val="both"/>
        <w:rPr>
          <w:rFonts w:ascii="Arial" w:hAnsi="Arial" w:eastAsia="Times New Roman" w:cs="Arial"/>
          <w:lang w:eastAsia="pt-BR"/>
        </w:rPr>
      </w:pPr>
      <w:r>
        <w:rPr>
          <w:rFonts w:eastAsia="Times New Roman" w:cs="Arial" w:ascii="Arial" w:hAnsi="Arial"/>
        </w:rPr>
        <w:t xml:space="preserve"> </w:t>
      </w:r>
      <w:r>
        <w:rPr>
          <w:rFonts w:eastAsia="Times New Roman" w:cs="Arial" w:ascii="Arial" w:hAnsi="Arial"/>
          <w:b/>
          <w:lang w:eastAsia="pt-BR"/>
        </w:rPr>
        <w:t>Art. 2º</w:t>
      </w:r>
      <w:r>
        <w:rPr>
          <w:rFonts w:eastAsia="Times New Roman" w:cs="Arial" w:ascii="Arial" w:hAnsi="Arial"/>
          <w:lang w:eastAsia="pt-BR"/>
        </w:rPr>
        <w:t xml:space="preserve"> – Revogar as disposições em contrário.</w:t>
      </w:r>
    </w:p>
    <w:p>
      <w:pPr>
        <w:pStyle w:val="Normal1"/>
        <w:jc w:val="both"/>
        <w:rPr>
          <w:rFonts w:ascii="Arial" w:hAnsi="Arial" w:eastAsia="Times New Roman" w:cs="Arial"/>
          <w:lang w:eastAsia="pt-BR"/>
        </w:rPr>
      </w:pPr>
      <w:r>
        <w:rPr>
          <w:rFonts w:eastAsia="Times New Roman" w:cs="Arial" w:ascii="Arial" w:hAnsi="Arial"/>
          <w:lang w:eastAsia="pt-BR"/>
        </w:rPr>
      </w:r>
    </w:p>
    <w:p>
      <w:pPr>
        <w:pStyle w:val="Normal1"/>
        <w:jc w:val="both"/>
        <w:rPr>
          <w:rFonts w:ascii="Arial" w:hAnsi="Arial" w:eastAsia="Times New Roman" w:cs="Arial"/>
          <w:lang w:eastAsia="pt-BR"/>
        </w:rPr>
      </w:pPr>
      <w:r>
        <w:rPr>
          <w:rFonts w:eastAsia="Times New Roman" w:cs="Arial" w:ascii="Arial" w:hAnsi="Arial"/>
          <w:lang w:eastAsia="pt-BR"/>
        </w:rPr>
      </w:r>
    </w:p>
    <w:p>
      <w:pPr>
        <w:pStyle w:val="Normal1"/>
        <w:jc w:val="both"/>
        <w:rPr>
          <w:rFonts w:ascii="Arial" w:hAnsi="Arial" w:eastAsia="Times New Roman" w:cs="Arial"/>
          <w:lang w:eastAsia="pt-BR"/>
        </w:rPr>
      </w:pPr>
      <w:r>
        <w:rPr>
          <w:rFonts w:eastAsia="Times New Roman" w:cs="Arial" w:ascii="Arial" w:hAnsi="Arial"/>
          <w:lang w:eastAsia="pt-BR"/>
        </w:rPr>
      </w:r>
    </w:p>
    <w:p>
      <w:pPr>
        <w:pStyle w:val="Normal1"/>
        <w:jc w:val="center"/>
        <w:rPr>
          <w:rFonts w:ascii="Arial" w:hAnsi="Arial" w:eastAsia="Times New Roman" w:cs="Arial"/>
        </w:rPr>
      </w:pPr>
      <w:r>
        <w:rPr>
          <w:rFonts w:eastAsia="Arial" w:cs="Arial" w:ascii="Arial" w:hAnsi="Arial"/>
        </w:rPr>
        <w:t xml:space="preserve">     </w:t>
      </w:r>
      <w:r>
        <w:rPr>
          <w:rFonts w:eastAsia="Arial" w:cs="Arial" w:ascii="Arial" w:hAnsi="Arial"/>
        </w:rPr>
        <w:t>Curitiba</w:t>
      </w:r>
      <w:r>
        <w:rPr>
          <w:rFonts w:eastAsia="Times New Roman" w:cs="Arial" w:ascii="Arial" w:hAnsi="Arial"/>
        </w:rPr>
        <w:t>, 10 de junho  de 2021.</w:t>
      </w:r>
    </w:p>
    <w:p>
      <w:pPr>
        <w:pStyle w:val="Normal1"/>
        <w:jc w:val="center"/>
        <w:rPr>
          <w:rFonts w:ascii="Arial" w:hAnsi="Arial" w:eastAsia="Times New Roman" w:cs="Arial"/>
        </w:rPr>
      </w:pPr>
      <w:r>
        <w:rPr>
          <w:rFonts w:eastAsia="Times New Roman" w:cs="Arial" w:ascii="Arial" w:hAnsi="Arial"/>
        </w:rPr>
      </w:r>
    </w:p>
    <w:p>
      <w:pPr>
        <w:pStyle w:val="Normal1"/>
        <w:jc w:val="center"/>
        <w:rPr>
          <w:rFonts w:ascii="Arial" w:hAnsi="Arial"/>
        </w:rPr>
      </w:pPr>
      <w:r>
        <w:rPr>
          <w:rFonts w:ascii="Arial" w:hAnsi="Arial"/>
        </w:rPr>
      </w:r>
    </w:p>
    <w:p>
      <w:pPr>
        <w:pStyle w:val="Normal1"/>
        <w:jc w:val="center"/>
        <w:rPr>
          <w:rFonts w:ascii="Arial" w:hAnsi="Arial" w:eastAsia="Times New Roman" w:cs="Arial"/>
          <w:b/>
          <w:b/>
          <w:bCs/>
        </w:rPr>
      </w:pPr>
      <w:r>
        <w:rPr>
          <w:rFonts w:eastAsia="Times New Roman" w:cs="Arial" w:ascii="Arial" w:hAnsi="Arial"/>
          <w:b/>
          <w:bCs/>
        </w:rPr>
        <w:tab/>
        <w:t xml:space="preserve">Suelen Glinski Rodrigues dos Santos                                      </w:t>
      </w:r>
      <w:r>
        <w:rPr>
          <w:rFonts w:eastAsia="Times New Roman" w:cs="Arial" w:ascii="Arial" w:hAnsi="Arial"/>
          <w:b/>
          <w:bCs/>
          <w:sz w:val="22"/>
          <w:szCs w:val="22"/>
        </w:rPr>
        <w:t>Presidente do Conselho Estadual do Trabalho, Emprego e Renda - CETER</w:t>
      </w:r>
    </w:p>
    <w:p>
      <w:pPr>
        <w:pStyle w:val="Cabealho1"/>
        <w:tabs>
          <w:tab w:val="left" w:pos="708" w:leader="none"/>
          <w:tab w:val="center" w:pos="4819" w:leader="none"/>
          <w:tab w:val="right" w:pos="9638" w:leader="none"/>
        </w:tabs>
        <w:ind w:right="-40" w:hanging="0"/>
        <w:rPr>
          <w:rFonts w:ascii="Arial Narrow" w:hAnsi="Arial Narrow" w:cs="Arial Narrow"/>
          <w:b/>
          <w:b/>
          <w:bCs/>
          <w:sz w:val="22"/>
          <w:szCs w:val="22"/>
        </w:rPr>
      </w:pPr>
      <w:r>
        <w:rPr>
          <w:rFonts w:cs="Arial Narrow" w:ascii="Arial Narrow" w:hAnsi="Arial Narrow"/>
          <w:b/>
          <w:bCs/>
          <w:sz w:val="22"/>
          <w:szCs w:val="22"/>
        </w:rPr>
      </w:r>
    </w:p>
    <w:p>
      <w:pPr>
        <w:pStyle w:val="Normal1"/>
        <w:jc w:val="center"/>
        <w:rPr>
          <w:rFonts w:ascii="Arial" w:hAnsi="Arial" w:cs="Arial"/>
          <w:sz w:val="22"/>
          <w:szCs w:val="22"/>
        </w:rPr>
      </w:pPr>
      <w:r>
        <w:rPr>
          <w:rFonts w:cs="Arial" w:ascii="Arial" w:hAnsi="Arial"/>
          <w:sz w:val="22"/>
          <w:szCs w:val="22"/>
        </w:rPr>
      </w:r>
    </w:p>
    <w:p>
      <w:pPr>
        <w:pStyle w:val="Normal1"/>
        <w:jc w:val="center"/>
        <w:rPr/>
      </w:pPr>
      <w:r>
        <w:rPr>
          <w:rFonts w:cs="Arial" w:ascii="Arial" w:hAnsi="Arial"/>
          <w:b/>
          <w:sz w:val="22"/>
          <w:szCs w:val="22"/>
        </w:rPr>
        <w:t>RESOLUÇÃO 427/2021</w:t>
      </w:r>
    </w:p>
    <w:p>
      <w:pPr>
        <w:pStyle w:val="Normal1"/>
        <w:jc w:val="center"/>
        <w:rPr>
          <w:rFonts w:ascii="Arial" w:hAnsi="Arial" w:cs="Arial"/>
          <w:b/>
          <w:b/>
          <w:sz w:val="22"/>
          <w:szCs w:val="22"/>
        </w:rPr>
      </w:pPr>
      <w:r>
        <w:rPr>
          <w:rFonts w:cs="Arial" w:ascii="Arial" w:hAnsi="Arial"/>
          <w:b/>
          <w:sz w:val="22"/>
          <w:szCs w:val="22"/>
        </w:rPr>
      </w:r>
    </w:p>
    <w:tbl>
      <w:tblPr>
        <w:tblW w:w="9120" w:type="dxa"/>
        <w:jc w:val="left"/>
        <w:tblInd w:w="-22" w:type="dxa"/>
        <w:tblBorders>
          <w:top w:val="single" w:sz="2" w:space="0" w:color="000001"/>
          <w:left w:val="single" w:sz="2" w:space="0" w:color="000001"/>
          <w:bottom w:val="single" w:sz="2" w:space="0" w:color="000001"/>
          <w:insideH w:val="single" w:sz="2" w:space="0" w:color="000001"/>
        </w:tblBorders>
        <w:tblCellMar>
          <w:top w:w="0" w:type="dxa"/>
          <w:left w:w="-2" w:type="dxa"/>
          <w:bottom w:w="0" w:type="dxa"/>
          <w:right w:w="0" w:type="dxa"/>
        </w:tblCellMar>
        <w:tblLook w:firstRow="1" w:noVBand="1" w:lastRow="0" w:firstColumn="1" w:lastColumn="0" w:noHBand="0" w:val="04a0"/>
      </w:tblPr>
      <w:tblGrid>
        <w:gridCol w:w="4658"/>
        <w:gridCol w:w="4461"/>
      </w:tblGrid>
      <w:tr>
        <w:trPr/>
        <w:tc>
          <w:tcPr>
            <w:tcW w:w="4658" w:type="dxa"/>
            <w:tcBorders>
              <w:top w:val="single" w:sz="2" w:space="0" w:color="000001"/>
              <w:left w:val="single" w:sz="2" w:space="0" w:color="000001"/>
              <w:bottom w:val="single" w:sz="2" w:space="0" w:color="000001"/>
              <w:insideH w:val="single" w:sz="2" w:space="0" w:color="000001"/>
            </w:tcBorders>
            <w:shd w:color="auto" w:fill="auto" w:val="clear"/>
            <w:tcMar>
              <w:left w:w="-2" w:type="dxa"/>
            </w:tcMar>
          </w:tcPr>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FACIAP____________________________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FAEP______________________________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FECOMÉRCIO______________________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FEPASC___________________________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FETRANSPAR______________________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rPr>
            </w:pPr>
            <w:r>
              <w:rPr>
                <w:rFonts w:cs="Arial" w:ascii="Arial" w:hAnsi="Arial"/>
                <w:sz w:val="22"/>
                <w:szCs w:val="22"/>
              </w:rPr>
              <w:t>FIEP-PR___________________________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SEED______________________________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SEPL______________________________</w:t>
            </w:r>
          </w:p>
          <w:p>
            <w:pPr>
              <w:pStyle w:val="Corpodetexto21"/>
              <w:rPr>
                <w:rFonts w:ascii="Arial" w:hAnsi="Arial" w:cs="Arial"/>
                <w:sz w:val="22"/>
                <w:szCs w:val="22"/>
              </w:rPr>
            </w:pPr>
            <w:r>
              <w:rPr>
                <w:rFonts w:cs="Arial" w:ascii="Arial" w:hAnsi="Arial"/>
                <w:sz w:val="22"/>
                <w:szCs w:val="22"/>
              </w:rPr>
            </w:r>
          </w:p>
          <w:p>
            <w:pPr>
              <w:pStyle w:val="Corpodetexto21"/>
              <w:suppressAutoHyphens w:val="false"/>
              <w:spacing w:before="0" w:after="160"/>
              <w:jc w:val="both"/>
              <w:rPr>
                <w:rFonts w:ascii="Arial" w:hAnsi="Arial" w:cs="Arial"/>
                <w:sz w:val="22"/>
                <w:szCs w:val="22"/>
              </w:rPr>
            </w:pPr>
            <w:r>
              <w:rPr>
                <w:rFonts w:cs="Arial" w:ascii="Arial" w:hAnsi="Arial"/>
                <w:sz w:val="22"/>
                <w:szCs w:val="22"/>
              </w:rPr>
              <w:t>SEJUF________________________</w:t>
            </w:r>
          </w:p>
        </w:tc>
        <w:tc>
          <w:tcPr>
            <w:tcW w:w="4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 w:type="dxa"/>
            </w:tcMar>
          </w:tcPr>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CSB___________________________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CTB_____________________________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CUT_____________________________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rPr>
            </w:pPr>
            <w:r>
              <w:rPr>
                <w:rFonts w:cs="Arial" w:ascii="Arial" w:hAnsi="Arial"/>
                <w:sz w:val="22"/>
                <w:szCs w:val="22"/>
              </w:rPr>
              <w:t>F.SINDICAL_______________________</w:t>
            </w:r>
          </w:p>
          <w:p>
            <w:pPr>
              <w:pStyle w:val="Corpodetexto21"/>
              <w:rPr>
                <w:rFonts w:ascii="Arial" w:hAnsi="Arial" w:cs="Arial"/>
                <w:sz w:val="22"/>
                <w:szCs w:val="22"/>
              </w:rPr>
            </w:pPr>
            <w:r>
              <w:rPr>
                <w:rFonts w:cs="Arial" w:ascii="Arial" w:hAnsi="Arial"/>
                <w:sz w:val="22"/>
                <w:szCs w:val="22"/>
              </w:rPr>
            </w:r>
          </w:p>
          <w:p>
            <w:pPr>
              <w:pStyle w:val="Corpodetexto21"/>
              <w:rPr>
                <w:rFonts w:ascii="Arial" w:hAnsi="Arial" w:cs="Arial"/>
                <w:sz w:val="22"/>
                <w:szCs w:val="22"/>
                <w:lang w:val="pt-BR"/>
              </w:rPr>
            </w:pPr>
            <w:r>
              <w:rPr>
                <w:rFonts w:cs="Arial" w:ascii="Arial" w:hAnsi="Arial"/>
                <w:sz w:val="22"/>
                <w:szCs w:val="22"/>
                <w:lang w:val="pt-BR"/>
              </w:rPr>
              <w:t>NCST__________________________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UGT____________________________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SESA___________________________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rPr>
                <w:rFonts w:ascii="Arial" w:hAnsi="Arial" w:cs="Arial"/>
                <w:sz w:val="22"/>
                <w:szCs w:val="22"/>
                <w:lang w:val="pt-BR"/>
              </w:rPr>
            </w:pPr>
            <w:r>
              <w:rPr>
                <w:rFonts w:cs="Arial" w:ascii="Arial" w:hAnsi="Arial"/>
                <w:sz w:val="22"/>
                <w:szCs w:val="22"/>
                <w:lang w:val="pt-BR"/>
              </w:rPr>
              <w:t>SRTb/PR_______________________</w:t>
            </w:r>
          </w:p>
          <w:p>
            <w:pPr>
              <w:pStyle w:val="Corpodetexto21"/>
              <w:rPr>
                <w:rFonts w:ascii="Arial" w:hAnsi="Arial" w:cs="Arial"/>
                <w:sz w:val="22"/>
                <w:szCs w:val="22"/>
                <w:lang w:val="pt-BR"/>
              </w:rPr>
            </w:pPr>
            <w:r>
              <w:rPr>
                <w:rFonts w:cs="Arial" w:ascii="Arial" w:hAnsi="Arial"/>
                <w:sz w:val="22"/>
                <w:szCs w:val="22"/>
                <w:lang w:val="pt-BR"/>
              </w:rPr>
            </w:r>
          </w:p>
          <w:p>
            <w:pPr>
              <w:pStyle w:val="Corpodetexto21"/>
              <w:suppressAutoHyphens w:val="false"/>
              <w:spacing w:before="0" w:after="160"/>
              <w:jc w:val="both"/>
              <w:rPr>
                <w:rFonts w:ascii="Arial" w:hAnsi="Arial" w:cs="Arial"/>
                <w:sz w:val="22"/>
                <w:szCs w:val="22"/>
                <w:lang w:val="pt-BR"/>
              </w:rPr>
            </w:pPr>
            <w:r>
              <w:rPr>
                <w:rFonts w:cs="Arial" w:ascii="Arial" w:hAnsi="Arial"/>
                <w:sz w:val="22"/>
                <w:szCs w:val="22"/>
                <w:lang w:val="pt-BR"/>
              </w:rPr>
              <w:t>FOMENTO__________________</w:t>
            </w:r>
          </w:p>
        </w:tc>
      </w:tr>
    </w:tbl>
    <w:p>
      <w:pPr>
        <w:pStyle w:val="Normal1"/>
        <w:spacing w:lineRule="atLeast" w:line="113"/>
        <w:rPr>
          <w:sz w:val="22"/>
          <w:szCs w:val="22"/>
        </w:rPr>
      </w:pPr>
      <w:r>
        <w:rPr>
          <w:sz w:val="22"/>
          <w:szCs w:val="22"/>
        </w:rPr>
      </w:r>
    </w:p>
    <w:p>
      <w:pPr>
        <w:pStyle w:val="Normal1"/>
        <w:spacing w:lineRule="atLeast" w:line="113"/>
        <w:rPr>
          <w:sz w:val="22"/>
          <w:szCs w:val="22"/>
        </w:rPr>
      </w:pPr>
      <w:r>
        <w:rPr>
          <w:sz w:val="22"/>
          <w:szCs w:val="22"/>
        </w:rPr>
      </w:r>
    </w:p>
    <w:p>
      <w:pPr>
        <w:pStyle w:val="Normal1"/>
        <w:spacing w:lineRule="atLeast" w:line="113"/>
        <w:rPr>
          <w:sz w:val="22"/>
          <w:szCs w:val="22"/>
        </w:rPr>
      </w:pPr>
      <w:r>
        <w:rPr>
          <w:sz w:val="22"/>
          <w:szCs w:val="22"/>
        </w:rPr>
      </w:r>
    </w:p>
    <w:p>
      <w:pPr>
        <w:pStyle w:val="Normal1"/>
        <w:spacing w:lineRule="atLeast" w:line="113"/>
        <w:rPr>
          <w:rFonts w:ascii="Arial" w:hAnsi="Arial" w:cs="Arial"/>
          <w:sz w:val="22"/>
          <w:szCs w:val="22"/>
        </w:rPr>
      </w:pPr>
      <w:r>
        <w:rPr>
          <w:rFonts w:cs="Arial" w:ascii="Arial" w:hAnsi="Arial"/>
          <w:sz w:val="22"/>
          <w:szCs w:val="22"/>
        </w:rPr>
        <w:tab/>
        <w:tab/>
        <w:tab/>
        <w:tab/>
        <w:t xml:space="preserve"> Curitiba, 08 de abril de 2021.</w:t>
      </w:r>
    </w:p>
    <w:p>
      <w:pPr>
        <w:pStyle w:val="Normal1"/>
        <w:jc w:val="both"/>
        <w:rPr>
          <w:rFonts w:ascii="Arial" w:hAnsi="Arial" w:cs="Arial"/>
          <w:b/>
          <w:b/>
          <w:sz w:val="22"/>
          <w:szCs w:val="22"/>
        </w:rPr>
      </w:pPr>
      <w:r>
        <w:rPr>
          <w:rFonts w:cs="Arial" w:ascii="Arial" w:hAnsi="Arial"/>
          <w:b/>
          <w:sz w:val="22"/>
          <w:szCs w:val="22"/>
        </w:rPr>
      </w:r>
    </w:p>
    <w:p>
      <w:pPr>
        <w:pStyle w:val="Normal1"/>
        <w:jc w:val="both"/>
        <w:rPr>
          <w:rFonts w:ascii="Arial" w:hAnsi="Arial" w:cs="Arial"/>
          <w:b/>
          <w:b/>
          <w:sz w:val="22"/>
          <w:szCs w:val="22"/>
        </w:rPr>
      </w:pPr>
      <w:r>
        <w:rPr>
          <w:rFonts w:cs="Arial" w:ascii="Arial" w:hAnsi="Arial"/>
          <w:b/>
          <w:sz w:val="22"/>
          <w:szCs w:val="22"/>
        </w:rPr>
      </w:r>
    </w:p>
    <w:p>
      <w:pPr>
        <w:pStyle w:val="Normal1"/>
        <w:jc w:val="both"/>
        <w:rPr>
          <w:rFonts w:ascii="Arial" w:hAnsi="Arial" w:cs="Arial"/>
          <w:b/>
          <w:b/>
          <w:sz w:val="22"/>
          <w:szCs w:val="22"/>
        </w:rPr>
      </w:pPr>
      <w:r>
        <w:rPr>
          <w:rFonts w:cs="Arial" w:ascii="Arial" w:hAnsi="Arial"/>
          <w:b/>
          <w:sz w:val="22"/>
          <w:szCs w:val="22"/>
        </w:rPr>
        <w:tab/>
        <w:tab/>
        <w:tab/>
      </w:r>
    </w:p>
    <w:p>
      <w:pPr>
        <w:pStyle w:val="Normal1"/>
        <w:spacing w:lineRule="atLeast" w:line="113"/>
        <w:jc w:val="center"/>
        <w:rPr>
          <w:rFonts w:ascii="Arial" w:hAnsi="Arial" w:cs="Arial"/>
          <w:b/>
          <w:b/>
          <w:sz w:val="22"/>
          <w:szCs w:val="22"/>
        </w:rPr>
      </w:pPr>
      <w:r>
        <w:rPr>
          <w:rFonts w:cs="Arial" w:ascii="Arial" w:hAnsi="Arial"/>
          <w:b/>
          <w:sz w:val="22"/>
          <w:szCs w:val="22"/>
        </w:rPr>
        <w:t>Publique-se</w:t>
      </w:r>
    </w:p>
    <w:p>
      <w:pPr>
        <w:pStyle w:val="Normal1"/>
        <w:spacing w:lineRule="atLeast" w:line="113"/>
        <w:jc w:val="center"/>
        <w:rPr>
          <w:rFonts w:ascii="Arial" w:hAnsi="Arial" w:cs="Arial"/>
          <w:b/>
          <w:b/>
          <w:sz w:val="22"/>
          <w:szCs w:val="22"/>
        </w:rPr>
      </w:pPr>
      <w:r>
        <w:rPr>
          <w:rFonts w:cs="Arial" w:ascii="Arial" w:hAnsi="Arial"/>
          <w:b/>
          <w:sz w:val="22"/>
          <w:szCs w:val="22"/>
        </w:rPr>
      </w:r>
    </w:p>
    <w:p>
      <w:pPr>
        <w:pStyle w:val="Normal1"/>
        <w:spacing w:lineRule="atLeast" w:line="113"/>
        <w:jc w:val="center"/>
        <w:rPr>
          <w:rFonts w:ascii="Arial" w:hAnsi="Arial" w:cs="Arial"/>
          <w:b/>
          <w:b/>
          <w:sz w:val="22"/>
          <w:szCs w:val="22"/>
        </w:rPr>
      </w:pPr>
      <w:r>
        <w:rPr>
          <w:rFonts w:cs="Arial" w:ascii="Arial" w:hAnsi="Arial"/>
          <w:b/>
          <w:sz w:val="22"/>
          <w:szCs w:val="22"/>
        </w:rPr>
      </w:r>
    </w:p>
    <w:p>
      <w:pPr>
        <w:pStyle w:val="Normal1"/>
        <w:spacing w:lineRule="atLeast" w:line="113"/>
        <w:jc w:val="center"/>
        <w:rPr>
          <w:rFonts w:ascii="Arial" w:hAnsi="Arial" w:cs="Arial"/>
          <w:b/>
          <w:b/>
          <w:sz w:val="22"/>
          <w:szCs w:val="22"/>
        </w:rPr>
      </w:pPr>
      <w:r>
        <w:rPr>
          <w:rFonts w:cs="Arial" w:ascii="Arial" w:hAnsi="Arial"/>
          <w:b/>
          <w:sz w:val="22"/>
          <w:szCs w:val="22"/>
        </w:rPr>
      </w:r>
    </w:p>
    <w:p>
      <w:pPr>
        <w:pStyle w:val="Western"/>
        <w:spacing w:lineRule="auto" w:line="360" w:before="280" w:after="0"/>
        <w:jc w:val="center"/>
        <w:rPr>
          <w:rFonts w:ascii="Arial" w:hAnsi="Arial" w:cs="Arial"/>
          <w:b/>
          <w:b/>
          <w:bCs/>
        </w:rPr>
      </w:pPr>
      <w:r>
        <w:rPr>
          <w:rFonts w:cs="Arial" w:ascii="Arial" w:hAnsi="Arial"/>
          <w:b/>
          <w:bCs/>
        </w:rPr>
        <w:t>SECRETARIA DE ESTADO DA JUSTIÇA, FAMÍLIA E TRABALHO DO ESTADO DO PARANÁ</w:t>
      </w:r>
    </w:p>
    <w:p>
      <w:pPr>
        <w:pStyle w:val="Western"/>
        <w:spacing w:lineRule="auto" w:line="360" w:before="280" w:after="0"/>
        <w:jc w:val="center"/>
        <w:rPr/>
      </w:pPr>
      <w:r>
        <w:rPr>
          <w:rFonts w:cs="Arial" w:ascii="Arial" w:hAnsi="Arial"/>
          <w:b/>
          <w:bCs/>
        </w:rPr>
        <w:t>COORDENADORIA DE QUALIFICAÇÃO PROFISSIONAL</w:t>
      </w:r>
    </w:p>
    <w:p>
      <w:pPr>
        <w:pStyle w:val="Western"/>
        <w:spacing w:lineRule="auto" w:line="360" w:before="280" w:after="0"/>
        <w:jc w:val="center"/>
        <w:rPr>
          <w:color w:val="00000A"/>
        </w:rPr>
      </w:pPr>
      <w:r>
        <w:rPr>
          <w:rFonts w:cs="Arial" w:ascii="Arial" w:hAnsi="Arial"/>
          <w:b/>
          <w:bCs/>
          <w:color w:val="00000A"/>
        </w:rPr>
        <w:t>MINUTA</w:t>
      </w:r>
    </w:p>
    <w:p>
      <w:pPr>
        <w:pStyle w:val="Normal"/>
        <w:rPr/>
      </w:pPr>
      <w:r>
        <w:rPr/>
      </w:r>
    </w:p>
    <w:p>
      <w:pPr>
        <w:pStyle w:val="Western"/>
        <w:spacing w:lineRule="auto" w:line="360" w:before="280" w:after="0"/>
        <w:rPr>
          <w:rFonts w:ascii="Arial" w:hAnsi="Arial" w:cs="Arial"/>
        </w:rPr>
      </w:pPr>
      <w:r>
        <w:rPr>
          <w:rFonts w:cs="Arial" w:ascii="Arial" w:hAnsi="Arial"/>
        </w:rPr>
        <w:t>Oficio n.º 002/2021                                                Curitib</w:t>
      </w:r>
      <w:bookmarkStart w:id="0" w:name="_GoBack"/>
      <w:bookmarkEnd w:id="0"/>
      <w:r>
        <w:rPr>
          <w:rFonts w:cs="Arial" w:ascii="Arial" w:hAnsi="Arial"/>
        </w:rPr>
        <w:t>a, 24 de maio de 2021</w:t>
      </w:r>
    </w:p>
    <w:p>
      <w:pPr>
        <w:pStyle w:val="Normal"/>
        <w:rPr>
          <w:b/>
          <w:b/>
        </w:rPr>
      </w:pPr>
      <w:r>
        <w:rPr>
          <w:b/>
        </w:rPr>
      </w:r>
    </w:p>
    <w:p>
      <w:pPr>
        <w:pStyle w:val="Western"/>
        <w:spacing w:lineRule="auto" w:line="360" w:before="280" w:after="0"/>
        <w:rPr>
          <w:rFonts w:ascii="Arial" w:hAnsi="Arial" w:cs="Arial"/>
        </w:rPr>
      </w:pPr>
      <w:r>
        <w:rPr>
          <w:rFonts w:cs="Arial" w:ascii="Arial" w:hAnsi="Arial"/>
        </w:rPr>
        <w:t xml:space="preserve">Assunto: </w:t>
      </w:r>
      <w:r>
        <w:rPr>
          <w:rFonts w:cs="Arial" w:ascii="Arial" w:hAnsi="Arial"/>
          <w:b/>
        </w:rPr>
        <w:t>Relatório de Gestão</w:t>
      </w:r>
      <w:r>
        <w:rPr>
          <w:rFonts w:cs="Arial" w:ascii="Arial" w:hAnsi="Arial"/>
        </w:rPr>
        <w:t>, conforme Portaria SPPE/SEPEC/ME N° 5733, de 13 de Maio de 2021</w:t>
      </w:r>
    </w:p>
    <w:p>
      <w:pPr>
        <w:pStyle w:val="Western"/>
        <w:spacing w:lineRule="atLeast" w:line="102" w:before="280" w:after="0"/>
        <w:rPr>
          <w:rFonts w:ascii="Arial" w:hAnsi="Arial" w:cs="Arial"/>
        </w:rPr>
      </w:pPr>
      <w:r>
        <w:rPr>
          <w:rFonts w:cs="Arial" w:ascii="Arial" w:hAnsi="Arial"/>
        </w:rPr>
        <w:tab/>
      </w:r>
    </w:p>
    <w:p>
      <w:pPr>
        <w:pStyle w:val="Western"/>
        <w:spacing w:lineRule="atLeast" w:line="102" w:before="280" w:after="0"/>
        <w:rPr>
          <w:rFonts w:ascii="Arial" w:hAnsi="Arial" w:cs="Arial"/>
        </w:rPr>
      </w:pPr>
      <w:r>
        <w:rPr>
          <w:rFonts w:cs="Arial" w:ascii="Arial" w:hAnsi="Arial"/>
          <w:b/>
        </w:rPr>
        <w:t>Ex.° Daniel de Souza Galvão</w:t>
      </w:r>
      <w:r>
        <w:rPr>
          <w:rFonts w:cs="Arial" w:ascii="Arial" w:hAnsi="Arial"/>
        </w:rPr>
        <w:t>,</w:t>
      </w:r>
    </w:p>
    <w:p>
      <w:pPr>
        <w:pStyle w:val="Western"/>
        <w:spacing w:lineRule="atLeast" w:line="102" w:before="280" w:after="0"/>
        <w:rPr>
          <w:rFonts w:ascii="Arial" w:hAnsi="Arial" w:cs="Arial"/>
        </w:rPr>
      </w:pPr>
      <w:r>
        <w:rPr>
          <w:rFonts w:cs="Arial" w:ascii="Arial" w:hAnsi="Arial"/>
        </w:rPr>
        <w:t>Secretário de Políticas Públicas de Emprego substituto – Ministério da Economia</w:t>
      </w:r>
    </w:p>
    <w:p>
      <w:pPr>
        <w:pStyle w:val="Western"/>
        <w:spacing w:lineRule="atLeast" w:line="102" w:before="280" w:after="0"/>
        <w:rPr>
          <w:rFonts w:ascii="Arial" w:hAnsi="Arial" w:cs="Arial"/>
        </w:rPr>
      </w:pPr>
      <w:r>
        <w:rPr>
          <w:rFonts w:cs="Arial" w:ascii="Arial" w:hAnsi="Arial"/>
        </w:rPr>
      </w:r>
    </w:p>
    <w:p>
      <w:pPr>
        <w:pStyle w:val="Western"/>
        <w:spacing w:lineRule="auto" w:line="360" w:before="280" w:after="0"/>
        <w:jc w:val="both"/>
        <w:rPr>
          <w:rFonts w:ascii="Arial" w:hAnsi="Arial" w:cs="Arial"/>
        </w:rPr>
      </w:pPr>
      <w:r>
        <w:rPr>
          <w:rFonts w:cs="Arial" w:ascii="Arial" w:hAnsi="Arial"/>
        </w:rPr>
        <w:tab/>
      </w:r>
      <w:r>
        <w:rPr>
          <w:rFonts w:eastAsia="Calibri" w:cs="Arial" w:ascii="Arial" w:hAnsi="Arial"/>
          <w:shd w:fill="FFFFFF" w:val="clear"/>
        </w:rPr>
        <w:t>Considerando a Resolução n° 888 do CODEFAT, a qual dispõe sobre as ações de acompanhamento, fiscalização e prestação de contas dos recursos federais descentralizados para os fundos do trabalho das esferas de governo que aderirem ao SINE, nos termos do artigo 19 da Lei nº 13.667, de 17 de maio de 2018 e do artigo 14 da Resolução CODEFAT nº 825, de 26 de março de 2019.</w:t>
      </w:r>
    </w:p>
    <w:p>
      <w:pPr>
        <w:pStyle w:val="Western"/>
        <w:spacing w:lineRule="auto" w:line="360" w:before="280" w:after="0"/>
        <w:jc w:val="both"/>
        <w:rPr>
          <w:rFonts w:ascii="Arial" w:hAnsi="Arial" w:cs="Arial"/>
        </w:rPr>
      </w:pPr>
      <w:r>
        <w:rPr>
          <w:rFonts w:cs="Arial" w:ascii="Arial" w:hAnsi="Arial"/>
        </w:rPr>
        <w:tab/>
        <w:t xml:space="preserve">A Coordenadoria de qualificação vem relatar a Gestão dos recursos, conforme orientado via Portaria, encaminhados da União, via F.A.T (Fundo de Amparo ao Trabalhador), ao estado do Paraná, via F.E.T (Fundo de Amparo ao Trabalhador), para ações destinadas à </w:t>
      </w:r>
      <w:r>
        <w:rPr>
          <w:rFonts w:cs="Arial" w:ascii="Arial" w:hAnsi="Arial"/>
          <w:b/>
        </w:rPr>
        <w:t>(II) Qualificação Social e Profissional</w:t>
      </w:r>
      <w:r>
        <w:rPr>
          <w:rFonts w:cs="Arial" w:ascii="Arial" w:hAnsi="Arial"/>
        </w:rPr>
        <w:t>.</w:t>
      </w:r>
    </w:p>
    <w:p>
      <w:pPr>
        <w:pStyle w:val="Western"/>
        <w:spacing w:lineRule="auto" w:line="360" w:before="280" w:after="0"/>
        <w:jc w:val="both"/>
        <w:rPr>
          <w:rFonts w:ascii="Arial" w:hAnsi="Arial" w:cs="Arial"/>
        </w:rPr>
      </w:pPr>
      <w:r>
        <w:rPr>
          <w:rFonts w:cs="Arial" w:ascii="Arial" w:hAnsi="Arial"/>
        </w:rPr>
      </w:r>
    </w:p>
    <w:p>
      <w:pPr>
        <w:pStyle w:val="Western"/>
        <w:spacing w:lineRule="auto" w:line="360" w:before="280" w:after="0"/>
        <w:jc w:val="both"/>
        <w:rPr>
          <w:rFonts w:ascii="Arial" w:hAnsi="Arial" w:cs="Arial"/>
        </w:rPr>
      </w:pPr>
      <w:r>
        <w:rPr>
          <w:rFonts w:cs="Arial" w:ascii="Arial" w:hAnsi="Arial"/>
        </w:rPr>
      </w:r>
    </w:p>
    <w:p>
      <w:pPr>
        <w:pStyle w:val="Western"/>
        <w:spacing w:lineRule="auto" w:line="360" w:beforeAutospacing="0" w:before="280" w:after="0"/>
        <w:ind w:left="1425" w:hanging="0"/>
        <w:jc w:val="both"/>
        <w:rPr>
          <w:rFonts w:ascii="Arial" w:hAnsi="Arial" w:cs="Arial"/>
          <w:b/>
          <w:b/>
        </w:rPr>
      </w:pPr>
      <w:r>
        <w:rPr>
          <w:rFonts w:cs="Arial" w:ascii="Arial" w:hAnsi="Arial"/>
          <w:b/>
        </w:rPr>
        <w:t>II)</w:t>
        <w:tab/>
        <w:t>Qualificação Social e Profissional;</w:t>
      </w:r>
    </w:p>
    <w:p>
      <w:pPr>
        <w:pStyle w:val="Western"/>
        <w:spacing w:lineRule="auto" w:line="360" w:beforeAutospacing="0" w:before="280" w:after="0"/>
        <w:ind w:left="1425" w:hanging="0"/>
        <w:jc w:val="both"/>
        <w:rPr>
          <w:rFonts w:ascii="Arial" w:hAnsi="Arial" w:cs="Arial"/>
        </w:rPr>
      </w:pPr>
      <w:r>
        <w:rPr>
          <w:rFonts w:cs="Arial" w:ascii="Arial" w:hAnsi="Arial"/>
        </w:rPr>
        <w:t xml:space="preserve">No tocante a esta atividade, devido à Pandemia que ocasionou necessidade de transformação na forma de planejamento da execução das Políticas Públicas, nenhum recurso proveniente do F.A.T foi executado. O montante total destinado ao F.E.T estadual para ações de Qualificação Social e Profissional, localizado na conta 13018-4 agência 3793-1, é decorrente de Emendas Parlamentares, em anexo, abaixo descritas: </w:t>
      </w:r>
    </w:p>
    <w:p>
      <w:pPr>
        <w:pStyle w:val="Western"/>
        <w:numPr>
          <w:ilvl w:val="0"/>
          <w:numId w:val="1"/>
        </w:numPr>
        <w:spacing w:lineRule="auto" w:line="360" w:beforeAutospacing="0" w:before="280" w:after="0"/>
        <w:jc w:val="both"/>
        <w:rPr>
          <w:rFonts w:ascii="Arial" w:hAnsi="Arial" w:cs="Arial"/>
        </w:rPr>
      </w:pPr>
      <w:r>
        <w:rPr>
          <w:rFonts w:cs="Arial" w:ascii="Arial" w:hAnsi="Arial"/>
        </w:rPr>
        <w:t>EMENDA individual 2050011: R$ 160.227,00 (cento e sessenta mil duzentos e vinte e sete reais)</w:t>
      </w:r>
    </w:p>
    <w:p>
      <w:pPr>
        <w:pStyle w:val="Western"/>
        <w:numPr>
          <w:ilvl w:val="0"/>
          <w:numId w:val="1"/>
        </w:numPr>
        <w:spacing w:lineRule="auto" w:line="360" w:beforeAutospacing="0" w:before="280" w:after="0"/>
        <w:jc w:val="both"/>
        <w:rPr>
          <w:rFonts w:ascii="Arial" w:hAnsi="Arial" w:cs="Arial"/>
        </w:rPr>
      </w:pPr>
      <w:r>
        <w:rPr>
          <w:rFonts w:cs="Arial" w:ascii="Arial" w:hAnsi="Arial"/>
        </w:rPr>
        <w:t>EMENDA individual 36460021: R$ 180.000,00 (cento e oitenta mil reais)</w:t>
      </w:r>
    </w:p>
    <w:p>
      <w:pPr>
        <w:pStyle w:val="Western"/>
        <w:numPr>
          <w:ilvl w:val="0"/>
          <w:numId w:val="1"/>
        </w:numPr>
        <w:spacing w:lineRule="auto" w:line="360" w:beforeAutospacing="0" w:before="280" w:after="0"/>
        <w:jc w:val="both"/>
        <w:rPr>
          <w:rFonts w:ascii="Arial" w:hAnsi="Arial" w:cs="Arial"/>
        </w:rPr>
      </w:pPr>
      <w:r>
        <w:rPr>
          <w:rFonts w:cs="Arial" w:ascii="Arial" w:hAnsi="Arial"/>
        </w:rPr>
        <w:t>EMENDA individual 30950015: R$ 100.000,00 (cem mil reais)</w:t>
      </w:r>
    </w:p>
    <w:p>
      <w:pPr>
        <w:pStyle w:val="Western"/>
        <w:numPr>
          <w:ilvl w:val="0"/>
          <w:numId w:val="1"/>
        </w:numPr>
        <w:spacing w:lineRule="auto" w:line="360" w:beforeAutospacing="0" w:before="280" w:after="0"/>
        <w:jc w:val="both"/>
        <w:rPr>
          <w:rFonts w:ascii="Arial" w:hAnsi="Arial" w:cs="Arial"/>
        </w:rPr>
      </w:pPr>
      <w:r>
        <w:rPr>
          <w:rFonts w:cs="Arial" w:ascii="Arial" w:hAnsi="Arial"/>
        </w:rPr>
        <w:t>Totalizando: R$ 440.227,00. (quatrocentos e quarenta mil duzentos e vinte e sete reais).</w:t>
      </w:r>
    </w:p>
    <w:p>
      <w:pPr>
        <w:pStyle w:val="Western"/>
        <w:numPr>
          <w:ilvl w:val="0"/>
          <w:numId w:val="2"/>
        </w:numPr>
        <w:spacing w:lineRule="auto" w:line="360" w:beforeAutospacing="0" w:before="280" w:after="0"/>
        <w:jc w:val="both"/>
        <w:rPr>
          <w:rFonts w:ascii="Arial" w:hAnsi="Arial" w:cs="Arial"/>
        </w:rPr>
      </w:pPr>
      <w:r>
        <w:rPr>
          <w:rFonts w:cs="Arial" w:ascii="Arial" w:hAnsi="Arial"/>
        </w:rPr>
        <w:t xml:space="preserve">Extrato, em anexo </w:t>
      </w:r>
      <w:r>
        <w:rPr>
          <w:rFonts w:cs="Arial" w:ascii="Arial" w:hAnsi="Arial"/>
          <w:i/>
        </w:rPr>
        <w:t>1 (hum)</w:t>
      </w:r>
      <w:r>
        <w:rPr>
          <w:rFonts w:cs="Arial" w:ascii="Arial" w:hAnsi="Arial"/>
        </w:rPr>
        <w:t xml:space="preserve">, consta transferência de R$ 428.655,61 (quatrocentos e vinte e oito mil seiscentos e cinqüenta e cinco e sessenta e um centavos). </w:t>
      </w:r>
      <w:r>
        <w:rPr>
          <w:rFonts w:cs="Arial" w:ascii="Arial" w:hAnsi="Arial"/>
          <w:b/>
        </w:rPr>
        <w:t>Restam R$ 11.571,39 (onze mil quinhentos e setenta e um e trinta e nove centavos) para completar o orçamento total indicado pelas emendas</w:t>
      </w:r>
      <w:r>
        <w:rPr>
          <w:rFonts w:cs="Arial" w:ascii="Arial" w:hAnsi="Arial"/>
        </w:rPr>
        <w:t>.</w:t>
      </w:r>
    </w:p>
    <w:p>
      <w:pPr>
        <w:pStyle w:val="Western"/>
        <w:spacing w:lineRule="auto" w:line="360" w:beforeAutospacing="0" w:before="280" w:after="0"/>
        <w:ind w:left="1418" w:hanging="0"/>
        <w:jc w:val="both"/>
        <w:rPr>
          <w:rFonts w:ascii="Arial" w:hAnsi="Arial" w:cs="Arial"/>
        </w:rPr>
      </w:pPr>
      <w:r>
        <w:rPr>
          <w:rFonts w:cs="Arial" w:ascii="Arial" w:hAnsi="Arial"/>
          <w:b/>
        </w:rPr>
        <w:t>II. a. Identificação dos fatores que contribuíram para a não realização de ações planejadas</w:t>
      </w:r>
    </w:p>
    <w:p>
      <w:pPr>
        <w:pStyle w:val="Western"/>
        <w:spacing w:lineRule="auto" w:line="360" w:beforeAutospacing="0" w:before="280" w:after="0"/>
        <w:ind w:left="1418" w:hanging="0"/>
        <w:jc w:val="both"/>
        <w:rPr>
          <w:rFonts w:ascii="Arial" w:hAnsi="Arial" w:cs="Arial"/>
        </w:rPr>
      </w:pPr>
      <w:r>
        <w:rPr>
          <w:rFonts w:cs="Arial" w:ascii="Arial" w:hAnsi="Arial"/>
        </w:rPr>
        <w:t xml:space="preserve">A não execução destes recursos no ano de 2020, conforme anexo 2 (dois), parte-se integralmente do fato de que a transferência, </w:t>
      </w:r>
    </w:p>
    <w:p>
      <w:pPr>
        <w:pStyle w:val="Western"/>
        <w:spacing w:lineRule="auto" w:line="360" w:beforeAutospacing="0" w:before="280" w:after="0"/>
        <w:ind w:left="1418" w:hanging="0"/>
        <w:jc w:val="both"/>
        <w:rPr>
          <w:rFonts w:ascii="Arial" w:hAnsi="Arial" w:cs="Arial"/>
        </w:rPr>
      </w:pPr>
      <w:r>
        <w:rPr>
          <w:rFonts w:cs="Arial" w:ascii="Arial" w:hAnsi="Arial"/>
        </w:rPr>
      </w:r>
    </w:p>
    <w:p>
      <w:pPr>
        <w:pStyle w:val="Western"/>
        <w:spacing w:lineRule="auto" w:line="360" w:beforeAutospacing="0" w:before="280" w:after="0"/>
        <w:ind w:left="1418" w:hanging="0"/>
        <w:jc w:val="both"/>
        <w:rPr>
          <w:rFonts w:ascii="Arial" w:hAnsi="Arial" w:cs="Arial"/>
        </w:rPr>
      </w:pPr>
      <w:r>
        <w:rPr>
          <w:rFonts w:cs="Arial" w:ascii="Arial" w:hAnsi="Arial"/>
        </w:rPr>
        <w:t xml:space="preserve">dos valores acima mencionados, foi efetivada só no dia 07 (sete) de janeiro de 2021, conforme documento em anexo </w:t>
      </w:r>
      <w:r>
        <w:rPr>
          <w:rFonts w:cs="Arial" w:ascii="Arial" w:hAnsi="Arial"/>
          <w:i/>
        </w:rPr>
        <w:t>3 (três)</w:t>
      </w:r>
      <w:r>
        <w:rPr>
          <w:rFonts w:cs="Arial" w:ascii="Arial" w:hAnsi="Arial"/>
        </w:rPr>
        <w:t xml:space="preserve">, razão esta que impossibilitou a execução destes em 2020. No mais, o acesso dos servidores públicos estaduais, do setor financeiro e do departamento do Trabalho, à nova plataforma </w:t>
      </w:r>
      <w:r>
        <w:rPr>
          <w:rFonts w:cs="Arial" w:ascii="Arial" w:hAnsi="Arial"/>
          <w:i/>
        </w:rPr>
        <w:t>Mais Brasil</w:t>
      </w:r>
      <w:r>
        <w:rPr>
          <w:rFonts w:cs="Arial" w:ascii="Arial" w:hAnsi="Arial"/>
        </w:rPr>
        <w:t xml:space="preserve"> ainda não foi efetivada, razão que também impossibilita a execução dos recursos. Além disso, a unidade do Banco do Brasil que atende a SEJUF na transferência de recursos, via conta Ágil, não detém todo conhecimento técnico para o procedimento das transferências via plataforma </w:t>
      </w:r>
      <w:r>
        <w:rPr>
          <w:rFonts w:cs="Arial" w:ascii="Arial" w:hAnsi="Arial"/>
          <w:i/>
        </w:rPr>
        <w:t>Mais Brasil</w:t>
      </w:r>
      <w:r>
        <w:rPr>
          <w:rFonts w:cs="Arial" w:ascii="Arial" w:hAnsi="Arial"/>
        </w:rPr>
        <w:t xml:space="preserve">. </w:t>
      </w:r>
    </w:p>
    <w:p>
      <w:pPr>
        <w:pStyle w:val="Western"/>
        <w:spacing w:lineRule="auto" w:line="360" w:beforeAutospacing="0" w:before="280" w:after="0"/>
        <w:ind w:left="1418" w:hanging="0"/>
        <w:jc w:val="both"/>
        <w:rPr>
          <w:rFonts w:ascii="Arial" w:hAnsi="Arial" w:cs="Arial"/>
        </w:rPr>
      </w:pPr>
      <w:r>
        <w:rPr>
          <w:rFonts w:cs="Arial" w:ascii="Arial" w:hAnsi="Arial"/>
        </w:rPr>
        <w:t>Por fim, neste caso específico das Emendas Parlamentares, surgiu dúvida adicional quanto à possibilidade de inexigibilidade de chamamento público para execução dos recursos, uma vez que as Emendas indicam OSC (Organização da Sociedade Civil) específica para executar as ações com os recursos. Fato tal que originou consulto técnica à Procuradoria Geral do Estado sob número de processo ESTADUAL (eProtocolo): 17.576.939-0, em anexo.</w:t>
      </w:r>
    </w:p>
    <w:p>
      <w:pPr>
        <w:pStyle w:val="Western"/>
        <w:spacing w:lineRule="auto" w:line="360" w:before="280" w:after="0"/>
        <w:jc w:val="center"/>
        <w:rPr>
          <w:rFonts w:ascii="Arial" w:hAnsi="Arial" w:cs="Arial"/>
        </w:rPr>
      </w:pPr>
      <w:r>
        <w:rPr>
          <w:rFonts w:cs="Arial" w:ascii="Arial" w:hAnsi="Arial"/>
        </w:rPr>
        <w:t>Este é o Ofício,</w:t>
      </w:r>
    </w:p>
    <w:p>
      <w:pPr>
        <w:pStyle w:val="Western"/>
        <w:spacing w:lineRule="auto" w:line="360" w:before="280" w:after="0"/>
        <w:jc w:val="center"/>
        <w:rPr>
          <w:rFonts w:ascii="Arial" w:hAnsi="Arial" w:cs="Arial"/>
        </w:rPr>
      </w:pPr>
      <w:r>
        <w:rPr>
          <w:rFonts w:cs="Arial" w:ascii="Arial" w:hAnsi="Arial"/>
        </w:rPr>
      </w:r>
    </w:p>
    <w:p>
      <w:pPr>
        <w:pStyle w:val="Western"/>
        <w:spacing w:lineRule="auto" w:line="360" w:before="280" w:after="0"/>
        <w:jc w:val="center"/>
        <w:rPr>
          <w:rFonts w:ascii="Arial" w:hAnsi="Arial" w:cs="Arial"/>
        </w:rPr>
      </w:pPr>
      <w:r>
        <w:rPr>
          <w:rFonts w:cs="Arial" w:ascii="Arial" w:hAnsi="Arial"/>
        </w:rPr>
      </w:r>
    </w:p>
    <w:p>
      <w:pPr>
        <w:pStyle w:val="Western"/>
        <w:spacing w:lineRule="auto" w:line="360" w:before="280" w:after="0"/>
        <w:jc w:val="center"/>
        <w:rPr>
          <w:rFonts w:ascii="Arial" w:hAnsi="Arial" w:cs="Arial"/>
        </w:rPr>
      </w:pPr>
      <w:r>
        <w:rPr>
          <w:rFonts w:cs="Arial" w:ascii="Arial" w:hAnsi="Arial"/>
        </w:rPr>
        <w:t>Atenciosamente,</w:t>
      </w:r>
    </w:p>
    <w:p>
      <w:pPr>
        <w:pStyle w:val="NormalWeb"/>
        <w:spacing w:lineRule="atLeast" w:line="198" w:before="280" w:after="0"/>
        <w:jc w:val="center"/>
        <w:rPr>
          <w:rFonts w:ascii="Arial" w:hAnsi="Arial" w:cs="Arial"/>
        </w:rPr>
      </w:pPr>
      <w:r>
        <w:rPr>
          <w:rFonts w:cs="Arial" w:ascii="Arial" w:hAnsi="Arial"/>
        </w:rPr>
      </w:r>
    </w:p>
    <w:p>
      <w:pPr>
        <w:pStyle w:val="NormalWeb"/>
        <w:spacing w:lineRule="atLeast" w:line="198" w:before="280" w:after="0"/>
        <w:jc w:val="center"/>
        <w:rPr>
          <w:rFonts w:ascii="Arial" w:hAnsi="Arial" w:cs="Arial"/>
        </w:rPr>
      </w:pPr>
      <w:r>
        <w:rPr>
          <w:rFonts w:cs="Arial" w:ascii="Arial" w:hAnsi="Arial"/>
        </w:rPr>
        <w:t>Guilherme Possenti Farinhaki</w:t>
      </w:r>
    </w:p>
    <w:p>
      <w:pPr>
        <w:pStyle w:val="NormalWeb"/>
        <w:spacing w:lineRule="atLeast" w:line="198" w:before="280" w:after="0"/>
        <w:jc w:val="center"/>
        <w:rPr>
          <w:rFonts w:ascii="Arial" w:hAnsi="Arial" w:cs="Arial"/>
          <w:b/>
          <w:b/>
        </w:rPr>
      </w:pPr>
      <w:r>
        <w:rPr>
          <w:rFonts w:cs="Arial" w:ascii="Arial" w:hAnsi="Arial"/>
          <w:b/>
        </w:rPr>
        <w:t>Coordenador da Qualificação Profissional – DET/SEJUF</w:t>
      </w:r>
    </w:p>
    <w:p>
      <w:pPr>
        <w:pStyle w:val="NormalWeb"/>
        <w:spacing w:lineRule="atLeast" w:line="198" w:before="280" w:after="0"/>
        <w:jc w:val="center"/>
        <w:rPr>
          <w:rFonts w:ascii="Arial" w:hAnsi="Arial" w:cs="Arial"/>
          <w:b/>
          <w:b/>
        </w:rPr>
      </w:pPr>
      <w:r>
        <w:rPr>
          <w:rFonts w:cs="Arial" w:ascii="Arial" w:hAnsi="Arial"/>
          <w:b/>
          <w:bCs/>
        </w:rPr>
        <w:t>Secretário de Estado da Justiça, Família e Trabalho</w:t>
      </w:r>
    </w:p>
    <w:p>
      <w:pPr>
        <w:pStyle w:val="Normal1"/>
        <w:spacing w:lineRule="atLeast" w:line="113"/>
        <w:jc w:val="center"/>
        <w:rPr/>
      </w:pPr>
      <w:r>
        <w:rPr/>
      </w:r>
    </w:p>
    <w:p>
      <w:pPr>
        <w:pStyle w:val="Normal1"/>
        <w:spacing w:lineRule="auto" w:line="288" w:before="0" w:after="60"/>
        <w:jc w:val="center"/>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Bookman Old Style">
    <w:charset w:val="00"/>
    <w:family w:val="roman"/>
    <w:pitch w:val="variable"/>
  </w:font>
  <w:font w:name="Arial Narro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2490" w:hanging="360"/>
      </w:pPr>
    </w:lvl>
    <w:lvl w:ilvl="1">
      <w:start w:val="1"/>
      <w:numFmt w:val="lowerLetter"/>
      <w:lvlText w:val="%2."/>
      <w:lvlJc w:val="left"/>
      <w:pPr>
        <w:ind w:left="3210" w:hanging="360"/>
      </w:pPr>
    </w:lvl>
    <w:lvl w:ilvl="2">
      <w:start w:val="1"/>
      <w:numFmt w:val="lowerRoman"/>
      <w:lvlText w:val="%3."/>
      <w:lvlJc w:val="right"/>
      <w:pPr>
        <w:ind w:left="3930" w:hanging="180"/>
      </w:pPr>
    </w:lvl>
    <w:lvl w:ilvl="3">
      <w:start w:val="1"/>
      <w:numFmt w:val="decimal"/>
      <w:lvlText w:val="%4."/>
      <w:lvlJc w:val="left"/>
      <w:pPr>
        <w:ind w:left="4650" w:hanging="360"/>
      </w:pPr>
    </w:lvl>
    <w:lvl w:ilvl="4">
      <w:start w:val="1"/>
      <w:numFmt w:val="lowerLetter"/>
      <w:lvlText w:val="%5."/>
      <w:lvlJc w:val="left"/>
      <w:pPr>
        <w:ind w:left="5370" w:hanging="360"/>
      </w:pPr>
    </w:lvl>
    <w:lvl w:ilvl="5">
      <w:start w:val="1"/>
      <w:numFmt w:val="lowerRoman"/>
      <w:lvlText w:val="%6."/>
      <w:lvlJc w:val="right"/>
      <w:pPr>
        <w:ind w:left="6090" w:hanging="180"/>
      </w:pPr>
    </w:lvl>
    <w:lvl w:ilvl="6">
      <w:start w:val="1"/>
      <w:numFmt w:val="decimal"/>
      <w:lvlText w:val="%7."/>
      <w:lvlJc w:val="left"/>
      <w:pPr>
        <w:ind w:left="6810" w:hanging="360"/>
      </w:pPr>
    </w:lvl>
    <w:lvl w:ilvl="7">
      <w:start w:val="1"/>
      <w:numFmt w:val="lowerLetter"/>
      <w:lvlText w:val="%8."/>
      <w:lvlJc w:val="left"/>
      <w:pPr>
        <w:ind w:left="7530" w:hanging="360"/>
      </w:pPr>
    </w:lvl>
    <w:lvl w:ilvl="8">
      <w:start w:val="1"/>
      <w:numFmt w:val="lowerRoman"/>
      <w:lvlText w:val="%9."/>
      <w:lvlJc w:val="right"/>
      <w:pPr>
        <w:ind w:left="8250" w:hanging="180"/>
      </w:pPr>
    </w:lvl>
  </w:abstractNum>
  <w:abstractNum w:abstractNumId="2">
    <w:lvl w:ilvl="0">
      <w:start w:val="1"/>
      <w:numFmt w:val="lowerRoman"/>
      <w:lvlText w:val="%1."/>
      <w:lvlJc w:val="left"/>
      <w:pPr>
        <w:ind w:left="3555" w:hanging="720"/>
      </w:p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f05658"/>
    <w:rPr>
      <w:rFonts w:ascii="Segoe UI" w:hAnsi="Segoe UI" w:cs="Segoe UI"/>
      <w:sz w:val="18"/>
      <w:szCs w:val="18"/>
    </w:rPr>
  </w:style>
  <w:style w:type="character" w:styleId="LinkdaInternet" w:customStyle="1">
    <w:name w:val="Link da Internet"/>
    <w:basedOn w:val="DefaultParagraphFont"/>
    <w:uiPriority w:val="99"/>
    <w:unhideWhenUsed/>
    <w:rsid w:val="001d2ee7"/>
    <w:rPr>
      <w:color w:val="0563C1" w:themeColor="hyperlink"/>
      <w:u w:val="single"/>
    </w:rPr>
  </w:style>
  <w:style w:type="character" w:styleId="Appletabspan" w:customStyle="1">
    <w:name w:val="apple-tab-span"/>
    <w:basedOn w:val="DefaultParagraphFont"/>
    <w:qFormat/>
    <w:rsid w:val="003916b1"/>
    <w:rPr/>
  </w:style>
  <w:style w:type="character" w:styleId="CabealhoChar" w:customStyle="1">
    <w:name w:val="Cabeçalho Char"/>
    <w:basedOn w:val="DefaultParagraphFont"/>
    <w:link w:val="Cabealho1"/>
    <w:semiHidden/>
    <w:qFormat/>
    <w:rsid w:val="009025a6"/>
    <w:rPr>
      <w:rFonts w:ascii="Times New Roman" w:hAnsi="Times New Roman" w:eastAsia="SimSun, 宋体" w:cs="Mangal"/>
      <w:sz w:val="24"/>
      <w:szCs w:val="24"/>
      <w:lang w:eastAsia="zh-CN" w:bidi="hi-IN"/>
    </w:rPr>
  </w:style>
  <w:style w:type="character" w:styleId="ListLabel1" w:customStyle="1">
    <w:name w:val="ListLabel 1"/>
    <w:qFormat/>
    <w:rsid w:val="00904ea9"/>
    <w:rPr>
      <w:u w:val="none"/>
    </w:rPr>
  </w:style>
  <w:style w:type="character" w:styleId="ListLabel2" w:customStyle="1">
    <w:name w:val="ListLabel 2"/>
    <w:qFormat/>
    <w:rsid w:val="00904ea9"/>
    <w:rPr>
      <w:u w:val="none"/>
    </w:rPr>
  </w:style>
  <w:style w:type="character" w:styleId="ListLabel3" w:customStyle="1">
    <w:name w:val="ListLabel 3"/>
    <w:qFormat/>
    <w:rsid w:val="00904ea9"/>
    <w:rPr>
      <w:u w:val="none"/>
    </w:rPr>
  </w:style>
  <w:style w:type="character" w:styleId="ListLabel4" w:customStyle="1">
    <w:name w:val="ListLabel 4"/>
    <w:qFormat/>
    <w:rsid w:val="00904ea9"/>
    <w:rPr>
      <w:u w:val="none"/>
    </w:rPr>
  </w:style>
  <w:style w:type="character" w:styleId="ListLabel5" w:customStyle="1">
    <w:name w:val="ListLabel 5"/>
    <w:qFormat/>
    <w:rsid w:val="00904ea9"/>
    <w:rPr>
      <w:u w:val="none"/>
    </w:rPr>
  </w:style>
  <w:style w:type="character" w:styleId="ListLabel6" w:customStyle="1">
    <w:name w:val="ListLabel 6"/>
    <w:qFormat/>
    <w:rsid w:val="00904ea9"/>
    <w:rPr>
      <w:u w:val="none"/>
    </w:rPr>
  </w:style>
  <w:style w:type="character" w:styleId="ListLabel7" w:customStyle="1">
    <w:name w:val="ListLabel 7"/>
    <w:qFormat/>
    <w:rsid w:val="00904ea9"/>
    <w:rPr>
      <w:u w:val="none"/>
    </w:rPr>
  </w:style>
  <w:style w:type="character" w:styleId="ListLabel8" w:customStyle="1">
    <w:name w:val="ListLabel 8"/>
    <w:qFormat/>
    <w:rsid w:val="00904ea9"/>
    <w:rPr>
      <w:u w:val="none"/>
    </w:rPr>
  </w:style>
  <w:style w:type="character" w:styleId="ListLabel9" w:customStyle="1">
    <w:name w:val="ListLabel 9"/>
    <w:qFormat/>
    <w:rsid w:val="00904ea9"/>
    <w:rPr>
      <w:u w:val="none"/>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otexto"/>
    <w:rsid w:val="00904ea9"/>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1"/>
    <w:qFormat/>
    <w:rsid w:val="00904ea9"/>
    <w:pPr>
      <w:suppressLineNumbers/>
    </w:pPr>
    <w:rPr>
      <w:rFonts w:cs="Arial"/>
    </w:rPr>
  </w:style>
  <w:style w:type="paragraph" w:styleId="Normal1" w:customStyle="1">
    <w:name w:val="Normal1"/>
    <w:qFormat/>
    <w:rsid w:val="009025a6"/>
    <w:pPr>
      <w:widowControl w:val="false"/>
      <w:suppressAutoHyphens w:val="true"/>
      <w:bidi w:val="0"/>
      <w:spacing w:lineRule="auto" w:line="254" w:before="0" w:after="160"/>
      <w:jc w:val="left"/>
    </w:pPr>
    <w:rPr>
      <w:rFonts w:ascii="Times New Roman" w:hAnsi="Times New Roman" w:eastAsia="SimSun, 宋体" w:cs="Mangal"/>
      <w:color w:val="00000A"/>
      <w:sz w:val="24"/>
      <w:szCs w:val="24"/>
      <w:lang w:eastAsia="zh-CN" w:bidi="hi-IN" w:val="pt-BR"/>
    </w:rPr>
  </w:style>
  <w:style w:type="paragraph" w:styleId="Ttulododocumento" w:customStyle="1">
    <w:name w:val="Title"/>
    <w:basedOn w:val="Normal1"/>
    <w:qFormat/>
    <w:rsid w:val="00904ea9"/>
    <w:pPr>
      <w:keepNext/>
      <w:spacing w:before="240" w:after="120"/>
    </w:pPr>
    <w:rPr>
      <w:rFonts w:ascii="Liberation Sans" w:hAnsi="Liberation Sans" w:eastAsia="Microsoft YaHei" w:cs="Arial"/>
      <w:sz w:val="28"/>
      <w:szCs w:val="28"/>
    </w:rPr>
  </w:style>
  <w:style w:type="paragraph" w:styleId="Corpodotexto" w:customStyle="1">
    <w:name w:val="Corpo do texto"/>
    <w:basedOn w:val="Normal1"/>
    <w:qFormat/>
    <w:rsid w:val="009025a6"/>
    <w:pPr>
      <w:spacing w:lineRule="auto" w:line="288" w:before="0" w:after="120"/>
    </w:pPr>
    <w:rPr/>
  </w:style>
  <w:style w:type="paragraph" w:styleId="Caption">
    <w:name w:val="caption"/>
    <w:basedOn w:val="Normal1"/>
    <w:qFormat/>
    <w:pPr>
      <w:suppressLineNumbers/>
      <w:spacing w:before="120" w:after="120"/>
    </w:pPr>
    <w:rPr>
      <w:i/>
      <w:iCs/>
    </w:rPr>
  </w:style>
  <w:style w:type="paragraph" w:styleId="Legenda1" w:customStyle="1">
    <w:name w:val="Legenda1"/>
    <w:basedOn w:val="Normal1"/>
    <w:qFormat/>
    <w:rsid w:val="00904ea9"/>
    <w:pPr>
      <w:suppressLineNumbers/>
      <w:spacing w:before="120" w:after="120"/>
    </w:pPr>
    <w:rPr>
      <w:rFonts w:cs="Arial"/>
      <w:i/>
      <w:iCs/>
    </w:rPr>
  </w:style>
  <w:style w:type="paragraph" w:styleId="ListParagraph">
    <w:name w:val="List Paragraph"/>
    <w:basedOn w:val="Normal1"/>
    <w:uiPriority w:val="34"/>
    <w:qFormat/>
    <w:rsid w:val="001864a1"/>
    <w:pPr>
      <w:spacing w:before="0" w:after="160"/>
      <w:ind w:left="720" w:hanging="0"/>
      <w:contextualSpacing/>
    </w:pPr>
    <w:rPr/>
  </w:style>
  <w:style w:type="paragraph" w:styleId="BalloonText">
    <w:name w:val="Balloon Text"/>
    <w:basedOn w:val="Normal1"/>
    <w:link w:val="TextodebaloChar"/>
    <w:uiPriority w:val="99"/>
    <w:semiHidden/>
    <w:unhideWhenUsed/>
    <w:qFormat/>
    <w:rsid w:val="00f05658"/>
    <w:pPr>
      <w:spacing w:lineRule="auto" w:line="240" w:before="0" w:after="0"/>
    </w:pPr>
    <w:rPr>
      <w:rFonts w:ascii="Segoe UI" w:hAnsi="Segoe UI" w:cs="Segoe UI"/>
      <w:sz w:val="18"/>
      <w:szCs w:val="18"/>
    </w:rPr>
  </w:style>
  <w:style w:type="paragraph" w:styleId="NormalWeb">
    <w:name w:val="Normal (Web)"/>
    <w:basedOn w:val="Normal1"/>
    <w:uiPriority w:val="99"/>
    <w:semiHidden/>
    <w:unhideWhenUsed/>
    <w:qFormat/>
    <w:rsid w:val="003916b1"/>
    <w:pPr>
      <w:spacing w:lineRule="auto" w:line="240" w:before="280" w:after="280"/>
    </w:pPr>
    <w:rPr>
      <w:rFonts w:eastAsia="Times New Roman" w:cs="Times New Roman"/>
      <w:lang w:eastAsia="pt-BR"/>
    </w:rPr>
  </w:style>
  <w:style w:type="paragraph" w:styleId="Ttulo1" w:customStyle="1">
    <w:name w:val="Título1"/>
    <w:basedOn w:val="Normal1"/>
    <w:qFormat/>
    <w:rsid w:val="009025a6"/>
    <w:pPr>
      <w:keepNext/>
      <w:spacing w:before="240" w:after="120"/>
    </w:pPr>
    <w:rPr>
      <w:rFonts w:ascii="Arial" w:hAnsi="Arial" w:eastAsia="Microsoft YaHei"/>
      <w:sz w:val="28"/>
      <w:szCs w:val="28"/>
    </w:rPr>
  </w:style>
  <w:style w:type="paragraph" w:styleId="Corpodetexto21" w:customStyle="1">
    <w:name w:val="Corpo de texto 21"/>
    <w:basedOn w:val="Normal1"/>
    <w:qFormat/>
    <w:rsid w:val="009025a6"/>
    <w:pPr>
      <w:suppressAutoHyphens w:val="false"/>
      <w:jc w:val="both"/>
    </w:pPr>
    <w:rPr>
      <w:lang w:val="en-US"/>
    </w:rPr>
  </w:style>
  <w:style w:type="paragraph" w:styleId="Cabealho1" w:customStyle="1">
    <w:name w:val="Cabeçalho1"/>
    <w:basedOn w:val="Normal1"/>
    <w:link w:val="CabealhoChar"/>
    <w:semiHidden/>
    <w:unhideWhenUsed/>
    <w:qFormat/>
    <w:rsid w:val="009025a6"/>
    <w:pPr>
      <w:suppressLineNumbers/>
      <w:tabs>
        <w:tab w:val="center" w:pos="4819" w:leader="none"/>
        <w:tab w:val="right" w:pos="9638" w:leader="none"/>
      </w:tabs>
    </w:pPr>
    <w:rPr/>
  </w:style>
  <w:style w:type="paragraph" w:styleId="Western" w:customStyle="1">
    <w:name w:val="western"/>
    <w:basedOn w:val="Normal"/>
    <w:uiPriority w:val="99"/>
    <w:qFormat/>
    <w:rsid w:val="007f288b"/>
    <w:pPr>
      <w:suppressAutoHyphens w:val="true"/>
      <w:spacing w:beforeAutospacing="1" w:after="119"/>
    </w:pPr>
    <w:rPr>
      <w:rFonts w:ascii="Liberation Serif" w:hAnsi="Liberation Serif" w:eastAsia="Times New Roman" w:cs="Liberation Serif"/>
      <w:color w:val="000000"/>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DB7E-70D6-4B5E-8A37-AF73CF2B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LibreOffice/5.2.3.3$Windows_x86 LibreOffice_project/d54a8868f08a7b39642414cf2c8ef2f228f780cf</Application>
  <Pages>3</Pages>
  <Words>791</Words>
  <Characters>4671</Characters>
  <CharactersWithSpaces>5521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2021-06-22T19:14:00Z</dcterms:created>
  <dc:creator>Narjara Cheyenne Carmelo Andriet</dc:creator>
  <dc:description/>
  <dc:language>pt-BR</dc:language>
  <cp:lastModifiedBy>Alda</cp:lastModifiedBy>
  <cp:lastPrinted>2020-09-28T15:50:00Z</cp:lastPrinted>
  <dcterms:modified xsi:type="dcterms:W3CDTF">2021-06-22T19:55:00Z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